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59734F4A" w:rsidR="00F15A53" w:rsidRDefault="00832CE5"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December 31</w:t>
      </w:r>
      <w:r w:rsidR="00AF2C99">
        <w:rPr>
          <w:rFonts w:ascii="Times New Roman" w:hAnsi="Times New Roman" w:cs="Times New Roman"/>
          <w:b/>
          <w:bCs/>
          <w:sz w:val="24"/>
          <w:szCs w:val="24"/>
        </w:rPr>
        <w:t>, 2020</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263BB536" w:rsidR="005916B2" w:rsidRPr="00AC2E50" w:rsidRDefault="004B04F0" w:rsidP="00D45A83">
      <w:pPr>
        <w:spacing w:after="0" w:line="276" w:lineRule="auto"/>
        <w:rPr>
          <w:rFonts w:ascii="Times New Roman" w:hAnsi="Times New Roman" w:cs="Times New Roman"/>
        </w:rPr>
      </w:pPr>
      <w:r w:rsidRPr="00AC2E50">
        <w:rPr>
          <w:rFonts w:ascii="Times New Roman" w:hAnsi="Times New Roman" w:cs="Times New Roman"/>
          <w:b/>
          <w:bCs/>
        </w:rPr>
        <w:t xml:space="preserve">Laurel Business Institute </w:t>
      </w:r>
      <w:r w:rsidR="00634766" w:rsidRPr="00AC2E50">
        <w:rPr>
          <w:rFonts w:ascii="Times New Roman" w:hAnsi="Times New Roman" w:cs="Times New Roman"/>
          <w:b/>
          <w:bCs/>
        </w:rPr>
        <w:t>(OPE</w:t>
      </w:r>
      <w:r w:rsidRPr="00AC2E50">
        <w:rPr>
          <w:rFonts w:ascii="Times New Roman" w:hAnsi="Times New Roman" w:cs="Times New Roman"/>
          <w:b/>
          <w:bCs/>
        </w:rPr>
        <w:t xml:space="preserve"> ID: 25-1499439)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26238FF0"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B3B84" w:rsidRPr="00AC2E50">
        <w:rPr>
          <w:rFonts w:ascii="Times New Roman" w:hAnsi="Times New Roman" w:cs="Times New Roman"/>
        </w:rPr>
        <w:t xml:space="preserve"> of May 6, 2020</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73C61467"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4B04F0" w:rsidRPr="00AC2E50">
        <w:rPr>
          <w:rFonts w:ascii="Times New Roman" w:hAnsi="Times New Roman" w:cs="Times New Roman"/>
          <w:b/>
          <w:bCs/>
          <w:color w:val="000000"/>
          <w:shd w:val="clear" w:color="auto" w:fill="FFFFFF"/>
        </w:rPr>
        <w:t>$180,185.</w:t>
      </w:r>
    </w:p>
    <w:p w14:paraId="37BBB9C2" w14:textId="7A203440"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832CE5">
        <w:rPr>
          <w:rFonts w:ascii="Times New Roman" w:hAnsi="Times New Roman" w:cs="Times New Roman"/>
          <w:b/>
          <w:bCs/>
          <w:color w:val="000000"/>
          <w:shd w:val="clear" w:color="auto" w:fill="FFFFFF"/>
        </w:rPr>
        <w:t>$152,640.</w:t>
      </w:r>
    </w:p>
    <w:p w14:paraId="0D3669D6" w14:textId="5F719F7E"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2A171A">
        <w:rPr>
          <w:rFonts w:ascii="Times New Roman" w:hAnsi="Times New Roman" w:cs="Times New Roman"/>
          <w:b/>
          <w:bCs/>
          <w:color w:val="000000"/>
          <w:u w:val="single"/>
          <w:shd w:val="clear" w:color="auto" w:fill="FFFFFF"/>
        </w:rPr>
        <w:t>254</w:t>
      </w:r>
      <w:r w:rsidR="004B04F0" w:rsidRPr="00AC2E50">
        <w:rPr>
          <w:rFonts w:ascii="Times New Roman" w:hAnsi="Times New Roman" w:cs="Times New Roman"/>
          <w:b/>
          <w:bCs/>
          <w:color w:val="000000"/>
          <w:u w:val="single"/>
          <w:shd w:val="clear" w:color="auto" w:fill="FFFFFF"/>
        </w:rPr>
        <w:t>.</w:t>
      </w:r>
    </w:p>
    <w:p w14:paraId="55FC2B12" w14:textId="773E2C87"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w:t>
      </w:r>
      <w:r w:rsidR="00E71D08">
        <w:rPr>
          <w:rFonts w:ascii="Times New Roman" w:hAnsi="Times New Roman" w:cs="Times New Roman"/>
          <w:color w:val="000000"/>
          <w:shd w:val="clear" w:color="auto" w:fill="FFFFFF"/>
        </w:rPr>
        <w:t xml:space="preserve">the date of this Fund Report is </w:t>
      </w:r>
      <w:r w:rsidR="00361AC1">
        <w:rPr>
          <w:rFonts w:ascii="Times New Roman" w:hAnsi="Times New Roman" w:cs="Times New Roman"/>
          <w:b/>
          <w:color w:val="000000"/>
          <w:shd w:val="clear" w:color="auto" w:fill="FFFFFF"/>
        </w:rPr>
        <w:t>167</w:t>
      </w:r>
      <w:bookmarkStart w:id="0" w:name="_GoBack"/>
      <w:bookmarkEnd w:id="0"/>
      <w:r w:rsidR="00E71D08">
        <w:rPr>
          <w:rFonts w:ascii="Times New Roman" w:hAnsi="Times New Roman" w:cs="Times New Roman"/>
          <w:b/>
          <w:color w:val="000000"/>
          <w:shd w:val="clear" w:color="auto" w:fill="FFFFFF"/>
        </w:rPr>
        <w:t xml:space="preserve">.  </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4E7D"/>
    <w:rsid w:val="00256284"/>
    <w:rsid w:val="00277E43"/>
    <w:rsid w:val="002942D6"/>
    <w:rsid w:val="00295DEF"/>
    <w:rsid w:val="002A171A"/>
    <w:rsid w:val="002C3C15"/>
    <w:rsid w:val="002C4D9E"/>
    <w:rsid w:val="002E2273"/>
    <w:rsid w:val="002F7C6B"/>
    <w:rsid w:val="0032570F"/>
    <w:rsid w:val="00341C39"/>
    <w:rsid w:val="00361AC1"/>
    <w:rsid w:val="00371AB2"/>
    <w:rsid w:val="00382DB4"/>
    <w:rsid w:val="00385D38"/>
    <w:rsid w:val="0038640C"/>
    <w:rsid w:val="0038668C"/>
    <w:rsid w:val="00386BDD"/>
    <w:rsid w:val="0039021F"/>
    <w:rsid w:val="003C2336"/>
    <w:rsid w:val="00402766"/>
    <w:rsid w:val="00413CD0"/>
    <w:rsid w:val="00417063"/>
    <w:rsid w:val="004303BF"/>
    <w:rsid w:val="004346F4"/>
    <w:rsid w:val="00446A7E"/>
    <w:rsid w:val="00465BA8"/>
    <w:rsid w:val="00471802"/>
    <w:rsid w:val="00497CF8"/>
    <w:rsid w:val="004B04F0"/>
    <w:rsid w:val="004C1F40"/>
    <w:rsid w:val="004C7B7A"/>
    <w:rsid w:val="004D0102"/>
    <w:rsid w:val="004E2730"/>
    <w:rsid w:val="005056FE"/>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E4676"/>
    <w:rsid w:val="006F2F9D"/>
    <w:rsid w:val="007028BB"/>
    <w:rsid w:val="0071406E"/>
    <w:rsid w:val="007143A3"/>
    <w:rsid w:val="00774AC3"/>
    <w:rsid w:val="007A12F0"/>
    <w:rsid w:val="007A5E0C"/>
    <w:rsid w:val="007A7FCD"/>
    <w:rsid w:val="007B7E96"/>
    <w:rsid w:val="007C062E"/>
    <w:rsid w:val="007D271B"/>
    <w:rsid w:val="007D414D"/>
    <w:rsid w:val="008106E8"/>
    <w:rsid w:val="00832CE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D7EFA"/>
    <w:rsid w:val="00AF2C99"/>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71D08"/>
    <w:rsid w:val="00E93D28"/>
    <w:rsid w:val="00E94500"/>
    <w:rsid w:val="00EA45CF"/>
    <w:rsid w:val="00EA5B94"/>
    <w:rsid w:val="00EB57AA"/>
    <w:rsid w:val="00EC0A20"/>
    <w:rsid w:val="00EE1A4A"/>
    <w:rsid w:val="00F15A53"/>
    <w:rsid w:val="00F42679"/>
    <w:rsid w:val="00F508F7"/>
    <w:rsid w:val="00F53562"/>
    <w:rsid w:val="00F5618E"/>
    <w:rsid w:val="00F573BE"/>
    <w:rsid w:val="00F702C2"/>
    <w:rsid w:val="00F70C08"/>
    <w:rsid w:val="00F92BDA"/>
    <w:rsid w:val="00F94851"/>
    <w:rsid w:val="00FB4F6F"/>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EAEA-1EE7-4529-8D34-C89C77CF4D79}">
  <ds:schemaRefs>
    <ds:schemaRef ds:uri="http://purl.org/dc/terms/"/>
    <ds:schemaRef ds:uri="http://schemas.openxmlformats.org/package/2006/metadata/core-properties"/>
    <ds:schemaRef ds:uri="http://purl.org/dc/dcmitype/"/>
    <ds:schemaRef ds:uri="http://schemas.microsoft.com/office/infopath/2007/PartnerControls"/>
    <ds:schemaRef ds:uri="c238d5e0-9f2a-457e-b2f8-ae4fb7eb363f"/>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3.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CD482-50EC-4953-80FE-2D0DBDEF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2021-01-08T20:43:00Z</dcterms:created>
  <dcterms:modified xsi:type="dcterms:W3CDTF">2021-01-08T21:02:00Z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